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692934" w:rsidRDefault="00372DD1" w:rsidP="002B6B8A">
      <w:pPr>
        <w:jc w:val="center"/>
        <w:rPr>
          <w:b/>
          <w:sz w:val="28"/>
          <w:szCs w:val="28"/>
          <w:u w:val="single"/>
        </w:rPr>
      </w:pPr>
      <w:r>
        <w:rPr>
          <w:b/>
          <w:sz w:val="28"/>
          <w:szCs w:val="28"/>
          <w:u w:val="single"/>
        </w:rPr>
        <w:t xml:space="preserve">ANNEX III </w:t>
      </w:r>
      <w:r w:rsidR="001B27AB" w:rsidRPr="00692934">
        <w:rPr>
          <w:b/>
          <w:sz w:val="28"/>
          <w:szCs w:val="28"/>
          <w:u w:val="single"/>
        </w:rPr>
        <w:t>– PRICE</w:t>
      </w:r>
      <w:r w:rsidR="009C18EF" w:rsidRPr="00692934">
        <w:rPr>
          <w:b/>
          <w:sz w:val="28"/>
          <w:szCs w:val="28"/>
          <w:u w:val="single"/>
        </w:rPr>
        <w:t xml:space="preserve"> SCHEDULE </w:t>
      </w:r>
      <w:r w:rsidR="001B27AB" w:rsidRPr="00692934">
        <w:rPr>
          <w:b/>
          <w:sz w:val="28"/>
          <w:szCs w:val="28"/>
          <w:u w:val="single"/>
        </w:rPr>
        <w:fldChar w:fldCharType="begin"/>
      </w:r>
      <w:r w:rsidR="001B27AB" w:rsidRPr="00692934">
        <w:rPr>
          <w:b/>
          <w:sz w:val="28"/>
          <w:szCs w:val="28"/>
          <w:u w:val="single"/>
        </w:rPr>
        <w:instrText xml:space="preserve"> TC “Declaration on Honour" </w:instrText>
      </w:r>
      <w:r w:rsidR="001B27AB" w:rsidRPr="00692934">
        <w:rPr>
          <w:b/>
          <w:sz w:val="28"/>
          <w:szCs w:val="28"/>
          <w:u w:val="single"/>
        </w:rPr>
        <w:fldChar w:fldCharType="end"/>
      </w:r>
    </w:p>
    <w:p w:rsidR="001B27AB" w:rsidRPr="00692934" w:rsidRDefault="001B27AB" w:rsidP="002B6B8A">
      <w:pPr>
        <w:keepNext/>
        <w:jc w:val="center"/>
      </w:pPr>
    </w:p>
    <w:p w:rsidR="008379CA" w:rsidRPr="00692934" w:rsidRDefault="008379CA" w:rsidP="002B6B8A">
      <w:pPr>
        <w:suppressAutoHyphens/>
        <w:ind w:right="-427"/>
        <w:jc w:val="center"/>
        <w:rPr>
          <w:rFonts w:eastAsia="Calibri"/>
          <w:b/>
          <w:bCs/>
          <w:sz w:val="28"/>
          <w:szCs w:val="28"/>
          <w:lang w:eastAsia="ja-JP"/>
        </w:rPr>
      </w:pPr>
      <w:r w:rsidRPr="00692934">
        <w:rPr>
          <w:b/>
          <w:sz w:val="28"/>
          <w:szCs w:val="28"/>
        </w:rPr>
        <w:t>Contract:</w:t>
      </w:r>
      <w:r w:rsidRPr="00692934">
        <w:rPr>
          <w:rFonts w:eastAsia="Calibri"/>
          <w:b/>
          <w:bCs/>
          <w:sz w:val="28"/>
          <w:szCs w:val="28"/>
          <w:lang w:eastAsia="ja-JP"/>
        </w:rPr>
        <w:t xml:space="preserve"> </w:t>
      </w:r>
      <w:r w:rsidRPr="00692934">
        <w:rPr>
          <w:rFonts w:eastAsia="Calibri"/>
          <w:b/>
          <w:bCs/>
          <w:sz w:val="28"/>
          <w:szCs w:val="28"/>
          <w:lang w:eastAsia="ja-JP"/>
        </w:rPr>
        <w:tab/>
        <w:t xml:space="preserve">Service Contract </w:t>
      </w:r>
      <w:r w:rsidR="00393D9D" w:rsidRPr="00692934">
        <w:rPr>
          <w:rFonts w:eastAsia="Calibri"/>
          <w:b/>
          <w:bCs/>
          <w:sz w:val="28"/>
          <w:szCs w:val="28"/>
          <w:lang w:eastAsia="ja-JP"/>
        </w:rPr>
        <w:t>for Project</w:t>
      </w:r>
      <w:r w:rsidR="00692934" w:rsidRPr="00692934">
        <w:rPr>
          <w:rFonts w:eastAsia="Calibri"/>
          <w:b/>
          <w:bCs/>
          <w:sz w:val="28"/>
          <w:szCs w:val="28"/>
          <w:lang w:eastAsia="ja-JP"/>
        </w:rPr>
        <w:t xml:space="preserve"> Manager for the Implementation of a New E-Procurement System </w:t>
      </w:r>
    </w:p>
    <w:p w:rsidR="008379CA" w:rsidRPr="00692934" w:rsidRDefault="008379CA" w:rsidP="002B6B8A">
      <w:pPr>
        <w:suppressAutoHyphens/>
        <w:ind w:right="-427"/>
        <w:jc w:val="center"/>
        <w:rPr>
          <w:b/>
          <w:sz w:val="28"/>
          <w:szCs w:val="28"/>
        </w:rPr>
      </w:pPr>
      <w:r w:rsidRPr="00692934">
        <w:rPr>
          <w:b/>
          <w:sz w:val="28"/>
          <w:szCs w:val="28"/>
        </w:rPr>
        <w:t>Reference:</w:t>
      </w:r>
      <w:r w:rsidRPr="00692934">
        <w:rPr>
          <w:b/>
          <w:sz w:val="28"/>
          <w:szCs w:val="28"/>
        </w:rPr>
        <w:tab/>
        <w:t xml:space="preserve"> </w:t>
      </w:r>
      <w:r w:rsidR="00692934" w:rsidRPr="00692934">
        <w:rPr>
          <w:b/>
          <w:sz w:val="28"/>
          <w:szCs w:val="28"/>
        </w:rPr>
        <w:t>IO/20/CFE/10018509/YM</w:t>
      </w:r>
      <w:r w:rsidR="00C42430">
        <w:rPr>
          <w:b/>
          <w:sz w:val="28"/>
          <w:szCs w:val="28"/>
        </w:rPr>
        <w:t>A</w:t>
      </w:r>
      <w:r w:rsidR="00692934" w:rsidRPr="00692934">
        <w:rPr>
          <w:b/>
          <w:sz w:val="28"/>
          <w:szCs w:val="28"/>
        </w:rPr>
        <w:t xml:space="preserve"> </w:t>
      </w:r>
    </w:p>
    <w:p w:rsidR="004174F3" w:rsidRPr="00692934" w:rsidRDefault="004174F3" w:rsidP="004174F3">
      <w:pPr>
        <w:keepNext/>
      </w:pPr>
    </w:p>
    <w:p w:rsidR="00E710A5" w:rsidRPr="00692934" w:rsidRDefault="00E710A5" w:rsidP="00044493">
      <w:pPr>
        <w:keepNext/>
      </w:pPr>
    </w:p>
    <w:p w:rsidR="00E710A5" w:rsidRPr="00692934" w:rsidRDefault="00E710A5" w:rsidP="00044493">
      <w:pPr>
        <w:keepNext/>
      </w:pPr>
    </w:p>
    <w:p w:rsidR="00044493" w:rsidRPr="00692934" w:rsidRDefault="00044493" w:rsidP="00044493">
      <w:pPr>
        <w:keepNext/>
      </w:pPr>
      <w:r w:rsidRPr="00692934">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Pr="00692934" w:rsidRDefault="00044493" w:rsidP="00044493">
      <w:pPr>
        <w:keepNext/>
      </w:pPr>
      <w:r w:rsidRPr="00692934">
        <w:t xml:space="preserve">Having examined all the Documents attached to this </w:t>
      </w:r>
      <w:r w:rsidR="006A2CA0">
        <w:t>Call for Expertise</w:t>
      </w:r>
      <w:r w:rsidRPr="00692934">
        <w:t xml:space="preserve">, including the Technical Specification for the performance of the </w:t>
      </w:r>
      <w:r w:rsidR="008379CA" w:rsidRPr="00692934">
        <w:t>Services</w:t>
      </w:r>
      <w:r w:rsidRPr="00692934">
        <w:t xml:space="preserve">, and having examined all conditions and factors which might in any way affect the cost or time of performance thereof, we the undersigned, offer to complete the </w:t>
      </w:r>
      <w:r w:rsidR="008379CA" w:rsidRPr="00692934">
        <w:t>Services</w:t>
      </w:r>
      <w:r w:rsidRPr="00692934">
        <w:t xml:space="preserve"> upon the terms and conditions set forth in the Proposal Documents for the following price</w:t>
      </w:r>
      <w:r w:rsidR="00E927E6">
        <w:t xml:space="preserve"> and the payment plan</w:t>
      </w:r>
      <w:r w:rsidRPr="00692934">
        <w:t>:</w:t>
      </w:r>
    </w:p>
    <w:p w:rsidR="008379CA" w:rsidRPr="00E710A5" w:rsidRDefault="008379CA" w:rsidP="006626C5">
      <w:pPr>
        <w:keepNext/>
        <w:rPr>
          <w:szCs w:val="24"/>
        </w:rPr>
      </w:pPr>
    </w:p>
    <w:tbl>
      <w:tblPr>
        <w:tblW w:w="91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2122"/>
        <w:gridCol w:w="2790"/>
        <w:gridCol w:w="1890"/>
        <w:gridCol w:w="1531"/>
      </w:tblGrid>
      <w:tr w:rsidR="00B1784C" w:rsidRPr="00E710A5" w:rsidTr="008E5803">
        <w:trPr>
          <w:trHeight w:val="318"/>
        </w:trPr>
        <w:tc>
          <w:tcPr>
            <w:tcW w:w="825" w:type="dxa"/>
            <w:shd w:val="clear" w:color="auto" w:fill="DEEAF6"/>
            <w:vAlign w:val="center"/>
          </w:tcPr>
          <w:p w:rsidR="00B1784C" w:rsidRPr="00E710A5" w:rsidRDefault="00B1784C" w:rsidP="00E927E6">
            <w:pPr>
              <w:jc w:val="center"/>
              <w:rPr>
                <w:rFonts w:eastAsia="Times New Roman"/>
                <w:color w:val="000000"/>
                <w:szCs w:val="24"/>
                <w:lang w:eastAsia="ja-JP"/>
              </w:rPr>
            </w:pPr>
            <w:r w:rsidRPr="00E710A5">
              <w:rPr>
                <w:rFonts w:eastAsia="Times New Roman"/>
                <w:color w:val="000000"/>
                <w:szCs w:val="24"/>
                <w:lang w:eastAsia="ja-JP"/>
              </w:rPr>
              <w:t>M#</w:t>
            </w:r>
          </w:p>
        </w:tc>
        <w:tc>
          <w:tcPr>
            <w:tcW w:w="2122" w:type="dxa"/>
            <w:shd w:val="clear" w:color="auto" w:fill="DEEAF6"/>
            <w:vAlign w:val="center"/>
          </w:tcPr>
          <w:p w:rsidR="00B1784C" w:rsidRPr="00E710A5" w:rsidRDefault="00E927E6" w:rsidP="00E927E6">
            <w:pPr>
              <w:jc w:val="center"/>
              <w:rPr>
                <w:rFonts w:eastAsia="Times New Roman"/>
                <w:color w:val="000000"/>
                <w:szCs w:val="24"/>
                <w:lang w:eastAsia="ja-JP"/>
              </w:rPr>
            </w:pPr>
            <w:r>
              <w:rPr>
                <w:rFonts w:eastAsia="Times New Roman"/>
                <w:color w:val="000000"/>
                <w:szCs w:val="24"/>
                <w:lang w:eastAsia="ja-JP"/>
              </w:rPr>
              <w:t>Phase</w:t>
            </w:r>
          </w:p>
        </w:tc>
        <w:tc>
          <w:tcPr>
            <w:tcW w:w="2790" w:type="dxa"/>
            <w:shd w:val="clear" w:color="auto" w:fill="DEEAF6"/>
            <w:vAlign w:val="center"/>
          </w:tcPr>
          <w:p w:rsidR="00B1784C" w:rsidRPr="00E710A5" w:rsidRDefault="00E927E6" w:rsidP="00E927E6">
            <w:pPr>
              <w:keepNext/>
              <w:jc w:val="center"/>
              <w:rPr>
                <w:szCs w:val="24"/>
              </w:rPr>
            </w:pPr>
            <w:r>
              <w:rPr>
                <w:szCs w:val="24"/>
              </w:rPr>
              <w:t>Deliverable</w:t>
            </w:r>
          </w:p>
        </w:tc>
        <w:tc>
          <w:tcPr>
            <w:tcW w:w="1890" w:type="dxa"/>
            <w:shd w:val="clear" w:color="auto" w:fill="DEEAF6"/>
            <w:vAlign w:val="center"/>
          </w:tcPr>
          <w:p w:rsidR="00B1784C" w:rsidRPr="00E710A5" w:rsidRDefault="00B1784C" w:rsidP="00E927E6">
            <w:pPr>
              <w:keepNext/>
              <w:jc w:val="center"/>
              <w:rPr>
                <w:szCs w:val="24"/>
              </w:rPr>
            </w:pPr>
            <w:r w:rsidRPr="00E710A5">
              <w:rPr>
                <w:szCs w:val="24"/>
              </w:rPr>
              <w:t>Due date</w:t>
            </w:r>
          </w:p>
        </w:tc>
        <w:tc>
          <w:tcPr>
            <w:tcW w:w="1531" w:type="dxa"/>
            <w:shd w:val="clear" w:color="auto" w:fill="DEEAF6"/>
            <w:vAlign w:val="center"/>
          </w:tcPr>
          <w:p w:rsidR="00B1784C" w:rsidRPr="00E710A5" w:rsidRDefault="00B1784C" w:rsidP="00E927E6">
            <w:pPr>
              <w:keepNext/>
              <w:jc w:val="center"/>
              <w:rPr>
                <w:szCs w:val="24"/>
              </w:rPr>
            </w:pPr>
            <w:r w:rsidRPr="00E710A5">
              <w:rPr>
                <w:szCs w:val="24"/>
              </w:rPr>
              <w:t>Amount in EUR</w:t>
            </w:r>
          </w:p>
        </w:tc>
      </w:tr>
      <w:tr w:rsidR="00E927E6" w:rsidRPr="00E710A5" w:rsidTr="008E5803">
        <w:tc>
          <w:tcPr>
            <w:tcW w:w="825" w:type="dxa"/>
            <w:shd w:val="clear" w:color="auto" w:fill="auto"/>
            <w:vAlign w:val="center"/>
          </w:tcPr>
          <w:p w:rsidR="00E927E6" w:rsidRPr="006A2CA0" w:rsidRDefault="00E927E6" w:rsidP="008379CA">
            <w:pPr>
              <w:jc w:val="center"/>
              <w:rPr>
                <w:szCs w:val="24"/>
              </w:rPr>
            </w:pPr>
            <w:r w:rsidRPr="006A2CA0">
              <w:rPr>
                <w:szCs w:val="24"/>
              </w:rPr>
              <w:t>M1</w:t>
            </w:r>
          </w:p>
        </w:tc>
        <w:tc>
          <w:tcPr>
            <w:tcW w:w="2122" w:type="dxa"/>
            <w:vMerge w:val="restart"/>
            <w:shd w:val="clear" w:color="auto" w:fill="auto"/>
            <w:vAlign w:val="center"/>
          </w:tcPr>
          <w:p w:rsidR="00E927E6" w:rsidRPr="006A2CA0" w:rsidRDefault="00E927E6" w:rsidP="00E927E6">
            <w:pPr>
              <w:jc w:val="center"/>
              <w:rPr>
                <w:szCs w:val="24"/>
              </w:rPr>
            </w:pPr>
            <w:r w:rsidRPr="00692934">
              <w:rPr>
                <w:szCs w:val="24"/>
              </w:rPr>
              <w:t>Pre- Project Phase</w:t>
            </w:r>
            <w:r>
              <w:rPr>
                <w:szCs w:val="24"/>
              </w:rPr>
              <w:t xml:space="preserve"> /  </w:t>
            </w:r>
            <w:r w:rsidRPr="00692934">
              <w:rPr>
                <w:szCs w:val="24"/>
              </w:rPr>
              <w:t>Initiation</w:t>
            </w:r>
          </w:p>
        </w:tc>
        <w:tc>
          <w:tcPr>
            <w:tcW w:w="2790" w:type="dxa"/>
            <w:shd w:val="clear" w:color="auto" w:fill="auto"/>
            <w:vAlign w:val="center"/>
          </w:tcPr>
          <w:p w:rsidR="00E927E6" w:rsidRPr="006A2CA0" w:rsidRDefault="00E927E6" w:rsidP="00C42430">
            <w:pPr>
              <w:rPr>
                <w:szCs w:val="24"/>
              </w:rPr>
            </w:pPr>
            <w:r w:rsidRPr="006A2CA0">
              <w:rPr>
                <w:szCs w:val="24"/>
              </w:rPr>
              <w:t xml:space="preserve">Successful completion of Monthly Report </w:t>
            </w:r>
          </w:p>
        </w:tc>
        <w:tc>
          <w:tcPr>
            <w:tcW w:w="1890" w:type="dxa"/>
            <w:shd w:val="clear" w:color="auto" w:fill="auto"/>
            <w:vAlign w:val="center"/>
          </w:tcPr>
          <w:p w:rsidR="00E927E6" w:rsidRPr="006A2CA0" w:rsidRDefault="00E927E6" w:rsidP="00993B18">
            <w:pPr>
              <w:keepNext/>
              <w:jc w:val="center"/>
              <w:rPr>
                <w:szCs w:val="24"/>
              </w:rPr>
            </w:pPr>
            <w:r w:rsidRPr="006A2CA0">
              <w:rPr>
                <w:szCs w:val="24"/>
              </w:rPr>
              <w:t>T0 +</w:t>
            </w:r>
            <w:r>
              <w:rPr>
                <w:szCs w:val="24"/>
              </w:rPr>
              <w:t xml:space="preserve"> </w:t>
            </w:r>
            <w:r w:rsidRPr="006A2CA0">
              <w:rPr>
                <w:szCs w:val="24"/>
              </w:rPr>
              <w:t>1 month</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M2</w:t>
            </w:r>
          </w:p>
        </w:tc>
        <w:tc>
          <w:tcPr>
            <w:tcW w:w="2122" w:type="dxa"/>
            <w:vMerge/>
            <w:shd w:val="clear" w:color="auto" w:fill="auto"/>
            <w:vAlign w:val="center"/>
          </w:tcPr>
          <w:p w:rsidR="00E927E6" w:rsidRPr="00E710A5" w:rsidRDefault="00E927E6" w:rsidP="00E927E6">
            <w:pPr>
              <w:jc w:val="center"/>
              <w:rPr>
                <w:szCs w:val="24"/>
              </w:rPr>
            </w:pP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2</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M3</w:t>
            </w:r>
          </w:p>
        </w:tc>
        <w:tc>
          <w:tcPr>
            <w:tcW w:w="2122" w:type="dxa"/>
            <w:vMerge w:val="restart"/>
            <w:shd w:val="clear" w:color="auto" w:fill="auto"/>
            <w:vAlign w:val="center"/>
          </w:tcPr>
          <w:p w:rsidR="00E927E6" w:rsidRDefault="00E927E6" w:rsidP="00E927E6">
            <w:pPr>
              <w:jc w:val="center"/>
              <w:rPr>
                <w:szCs w:val="24"/>
              </w:rPr>
            </w:pPr>
          </w:p>
          <w:p w:rsidR="00E927E6" w:rsidRPr="00E927E6" w:rsidRDefault="00E927E6" w:rsidP="00E927E6">
            <w:pPr>
              <w:jc w:val="center"/>
              <w:rPr>
                <w:szCs w:val="24"/>
              </w:rPr>
            </w:pPr>
            <w:r w:rsidRPr="00692934">
              <w:rPr>
                <w:szCs w:val="24"/>
              </w:rPr>
              <w:t>Requirements and Design</w:t>
            </w: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3</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M4</w:t>
            </w:r>
          </w:p>
        </w:tc>
        <w:tc>
          <w:tcPr>
            <w:tcW w:w="2122" w:type="dxa"/>
            <w:vMerge/>
            <w:shd w:val="clear" w:color="auto" w:fill="auto"/>
            <w:vAlign w:val="center"/>
          </w:tcPr>
          <w:p w:rsidR="00E927E6" w:rsidRPr="00E710A5" w:rsidRDefault="00E927E6" w:rsidP="00E927E6">
            <w:pPr>
              <w:jc w:val="center"/>
              <w:rPr>
                <w:szCs w:val="24"/>
              </w:rPr>
            </w:pP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4</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M5</w:t>
            </w:r>
          </w:p>
        </w:tc>
        <w:tc>
          <w:tcPr>
            <w:tcW w:w="2122" w:type="dxa"/>
            <w:vMerge w:val="restart"/>
            <w:shd w:val="clear" w:color="auto" w:fill="auto"/>
            <w:vAlign w:val="center"/>
          </w:tcPr>
          <w:p w:rsidR="00E927E6" w:rsidRPr="00E710A5" w:rsidRDefault="00E927E6" w:rsidP="00E927E6">
            <w:pPr>
              <w:jc w:val="center"/>
              <w:rPr>
                <w:szCs w:val="24"/>
              </w:rPr>
            </w:pPr>
            <w:r w:rsidRPr="00692934">
              <w:rPr>
                <w:szCs w:val="24"/>
              </w:rPr>
              <w:t>Build and Unit Test</w:t>
            </w: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5</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M6</w:t>
            </w:r>
          </w:p>
        </w:tc>
        <w:tc>
          <w:tcPr>
            <w:tcW w:w="2122" w:type="dxa"/>
            <w:vMerge/>
            <w:shd w:val="clear" w:color="auto" w:fill="auto"/>
            <w:vAlign w:val="center"/>
          </w:tcPr>
          <w:p w:rsidR="00E927E6" w:rsidRPr="00E710A5" w:rsidRDefault="00E927E6" w:rsidP="00E927E6">
            <w:pPr>
              <w:jc w:val="center"/>
              <w:rPr>
                <w:szCs w:val="24"/>
              </w:rPr>
            </w:pP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6</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M7</w:t>
            </w:r>
          </w:p>
        </w:tc>
        <w:tc>
          <w:tcPr>
            <w:tcW w:w="2122" w:type="dxa"/>
            <w:vMerge/>
            <w:shd w:val="clear" w:color="auto" w:fill="auto"/>
            <w:vAlign w:val="center"/>
          </w:tcPr>
          <w:p w:rsidR="00E927E6" w:rsidRPr="00E710A5" w:rsidRDefault="00E927E6" w:rsidP="00E927E6">
            <w:pPr>
              <w:jc w:val="center"/>
              <w:rPr>
                <w:szCs w:val="24"/>
              </w:rPr>
            </w:pP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7</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M8</w:t>
            </w:r>
          </w:p>
        </w:tc>
        <w:tc>
          <w:tcPr>
            <w:tcW w:w="2122" w:type="dxa"/>
            <w:vMerge/>
            <w:shd w:val="clear" w:color="auto" w:fill="auto"/>
            <w:vAlign w:val="center"/>
          </w:tcPr>
          <w:p w:rsidR="00E927E6" w:rsidRPr="00E710A5" w:rsidRDefault="00E927E6" w:rsidP="00E927E6">
            <w:pPr>
              <w:jc w:val="center"/>
              <w:rPr>
                <w:szCs w:val="24"/>
              </w:rPr>
            </w:pP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8</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M9</w:t>
            </w:r>
          </w:p>
        </w:tc>
        <w:tc>
          <w:tcPr>
            <w:tcW w:w="2122" w:type="dxa"/>
            <w:vMerge w:val="restart"/>
            <w:shd w:val="clear" w:color="auto" w:fill="auto"/>
            <w:vAlign w:val="center"/>
          </w:tcPr>
          <w:p w:rsidR="00E927E6" w:rsidRPr="00E710A5" w:rsidRDefault="00E927E6" w:rsidP="00E927E6">
            <w:pPr>
              <w:jc w:val="center"/>
              <w:rPr>
                <w:szCs w:val="24"/>
              </w:rPr>
            </w:pPr>
            <w:r w:rsidRPr="00692934">
              <w:rPr>
                <w:rFonts w:eastAsia="Times"/>
                <w:szCs w:val="24"/>
                <w:lang w:eastAsia="en-GB"/>
              </w:rPr>
              <w:t>Test Phase</w:t>
            </w: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9</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M10</w:t>
            </w:r>
          </w:p>
        </w:tc>
        <w:tc>
          <w:tcPr>
            <w:tcW w:w="2122" w:type="dxa"/>
            <w:vMerge/>
            <w:shd w:val="clear" w:color="auto" w:fill="auto"/>
            <w:vAlign w:val="center"/>
          </w:tcPr>
          <w:p w:rsidR="00E927E6" w:rsidRPr="00E710A5" w:rsidRDefault="00E927E6" w:rsidP="00E927E6">
            <w:pPr>
              <w:jc w:val="center"/>
              <w:rPr>
                <w:szCs w:val="24"/>
              </w:rPr>
            </w:pP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w:t>
            </w:r>
            <w:r w:rsidRPr="006A2CA0">
              <w:rPr>
                <w:szCs w:val="24"/>
              </w:rPr>
              <w:t>1</w:t>
            </w:r>
            <w:r>
              <w:rPr>
                <w:szCs w:val="24"/>
              </w:rPr>
              <w:t>0</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E927E6" w:rsidRPr="00E710A5" w:rsidTr="008E5803">
        <w:tc>
          <w:tcPr>
            <w:tcW w:w="825" w:type="dxa"/>
            <w:shd w:val="clear" w:color="auto" w:fill="auto"/>
            <w:vAlign w:val="center"/>
          </w:tcPr>
          <w:p w:rsidR="00E927E6" w:rsidRPr="00E710A5" w:rsidRDefault="00E927E6" w:rsidP="00993B18">
            <w:pPr>
              <w:jc w:val="center"/>
              <w:rPr>
                <w:szCs w:val="24"/>
              </w:rPr>
            </w:pPr>
            <w:r>
              <w:rPr>
                <w:szCs w:val="24"/>
              </w:rPr>
              <w:t>M11</w:t>
            </w:r>
          </w:p>
        </w:tc>
        <w:tc>
          <w:tcPr>
            <w:tcW w:w="2122" w:type="dxa"/>
            <w:vMerge/>
            <w:shd w:val="clear" w:color="auto" w:fill="auto"/>
            <w:vAlign w:val="center"/>
          </w:tcPr>
          <w:p w:rsidR="00E927E6" w:rsidRPr="00E710A5" w:rsidRDefault="00E927E6" w:rsidP="00E927E6">
            <w:pPr>
              <w:jc w:val="center"/>
              <w:rPr>
                <w:szCs w:val="24"/>
              </w:rPr>
            </w:pPr>
          </w:p>
        </w:tc>
        <w:tc>
          <w:tcPr>
            <w:tcW w:w="2790" w:type="dxa"/>
            <w:shd w:val="clear" w:color="auto" w:fill="auto"/>
            <w:vAlign w:val="center"/>
          </w:tcPr>
          <w:p w:rsidR="00E927E6" w:rsidRPr="00E710A5" w:rsidRDefault="00E927E6" w:rsidP="00993B18">
            <w:pPr>
              <w:rPr>
                <w:szCs w:val="24"/>
              </w:rPr>
            </w:pPr>
            <w:r w:rsidRPr="00C42430">
              <w:rPr>
                <w:szCs w:val="24"/>
              </w:rPr>
              <w:t>Successful completion of Monthly Report</w:t>
            </w:r>
          </w:p>
        </w:tc>
        <w:tc>
          <w:tcPr>
            <w:tcW w:w="1890" w:type="dxa"/>
            <w:shd w:val="clear" w:color="auto" w:fill="auto"/>
            <w:vAlign w:val="center"/>
          </w:tcPr>
          <w:p w:rsidR="00E927E6" w:rsidRPr="00E710A5" w:rsidRDefault="00E927E6" w:rsidP="00993B18">
            <w:pPr>
              <w:keepNext/>
              <w:jc w:val="center"/>
              <w:rPr>
                <w:szCs w:val="24"/>
              </w:rPr>
            </w:pPr>
            <w:r w:rsidRPr="006A2CA0">
              <w:rPr>
                <w:szCs w:val="24"/>
              </w:rPr>
              <w:t>T0 +</w:t>
            </w:r>
            <w:r>
              <w:rPr>
                <w:szCs w:val="24"/>
              </w:rPr>
              <w:t xml:space="preserve"> </w:t>
            </w:r>
            <w:r w:rsidRPr="006A2CA0">
              <w:rPr>
                <w:szCs w:val="24"/>
              </w:rPr>
              <w:t>1</w:t>
            </w:r>
            <w:r>
              <w:rPr>
                <w:szCs w:val="24"/>
              </w:rPr>
              <w:t>1</w:t>
            </w:r>
            <w:r w:rsidRPr="006A2CA0">
              <w:rPr>
                <w:szCs w:val="24"/>
              </w:rPr>
              <w:t xml:space="preserve"> month</w:t>
            </w:r>
            <w:r w:rsidR="008E5803">
              <w:rPr>
                <w:szCs w:val="24"/>
              </w:rPr>
              <w:t>s</w:t>
            </w:r>
          </w:p>
        </w:tc>
        <w:tc>
          <w:tcPr>
            <w:tcW w:w="1531" w:type="dxa"/>
            <w:shd w:val="clear" w:color="auto" w:fill="auto"/>
            <w:vAlign w:val="center"/>
          </w:tcPr>
          <w:p w:rsidR="00E927E6" w:rsidRPr="00E710A5" w:rsidRDefault="00E927E6" w:rsidP="00993B18">
            <w:pPr>
              <w:jc w:val="right"/>
              <w:rPr>
                <w:i/>
                <w:szCs w:val="24"/>
                <w:highlight w:val="yellow"/>
              </w:rPr>
            </w:pPr>
            <w:r w:rsidRPr="00E710A5">
              <w:rPr>
                <w:i/>
                <w:szCs w:val="24"/>
                <w:highlight w:val="yellow"/>
              </w:rPr>
              <w:t>to be added</w:t>
            </w:r>
          </w:p>
        </w:tc>
      </w:tr>
      <w:tr w:rsidR="00B1784C" w:rsidRPr="00E710A5" w:rsidTr="008E5803">
        <w:tc>
          <w:tcPr>
            <w:tcW w:w="825" w:type="dxa"/>
            <w:shd w:val="clear" w:color="auto" w:fill="auto"/>
            <w:vAlign w:val="center"/>
          </w:tcPr>
          <w:p w:rsidR="00B1784C" w:rsidRPr="00E710A5" w:rsidRDefault="00B1784C" w:rsidP="00993B18">
            <w:pPr>
              <w:jc w:val="center"/>
              <w:rPr>
                <w:szCs w:val="24"/>
              </w:rPr>
            </w:pPr>
            <w:r>
              <w:rPr>
                <w:szCs w:val="24"/>
              </w:rPr>
              <w:t>M12</w:t>
            </w:r>
          </w:p>
        </w:tc>
        <w:tc>
          <w:tcPr>
            <w:tcW w:w="2122" w:type="dxa"/>
            <w:shd w:val="clear" w:color="auto" w:fill="auto"/>
            <w:vAlign w:val="center"/>
          </w:tcPr>
          <w:p w:rsidR="00B1784C" w:rsidRPr="00E710A5" w:rsidRDefault="00E927E6" w:rsidP="00E927E6">
            <w:pPr>
              <w:jc w:val="center"/>
              <w:rPr>
                <w:szCs w:val="24"/>
              </w:rPr>
            </w:pPr>
            <w:r w:rsidRPr="00692934">
              <w:rPr>
                <w:szCs w:val="24"/>
              </w:rPr>
              <w:t>Deploy</w:t>
            </w:r>
            <w:r>
              <w:rPr>
                <w:szCs w:val="24"/>
              </w:rPr>
              <w:t xml:space="preserve"> / </w:t>
            </w:r>
            <w:r w:rsidRPr="00692934">
              <w:rPr>
                <w:szCs w:val="24"/>
              </w:rPr>
              <w:t>Hyper care</w:t>
            </w:r>
          </w:p>
        </w:tc>
        <w:tc>
          <w:tcPr>
            <w:tcW w:w="2790" w:type="dxa"/>
            <w:shd w:val="clear" w:color="auto" w:fill="auto"/>
            <w:vAlign w:val="center"/>
          </w:tcPr>
          <w:p w:rsidR="00B1784C" w:rsidRPr="00E710A5" w:rsidRDefault="00B1784C" w:rsidP="00993B18">
            <w:pPr>
              <w:rPr>
                <w:szCs w:val="24"/>
              </w:rPr>
            </w:pPr>
            <w:r w:rsidRPr="00C42430">
              <w:rPr>
                <w:szCs w:val="24"/>
              </w:rPr>
              <w:t>Successful completion of Monthly Report</w:t>
            </w:r>
          </w:p>
        </w:tc>
        <w:tc>
          <w:tcPr>
            <w:tcW w:w="1890" w:type="dxa"/>
            <w:shd w:val="clear" w:color="auto" w:fill="auto"/>
            <w:vAlign w:val="center"/>
          </w:tcPr>
          <w:p w:rsidR="00B1784C" w:rsidRPr="00E710A5" w:rsidRDefault="00B1784C" w:rsidP="00993B18">
            <w:pPr>
              <w:keepNext/>
              <w:jc w:val="center"/>
              <w:rPr>
                <w:szCs w:val="24"/>
              </w:rPr>
            </w:pPr>
            <w:r w:rsidRPr="006A2CA0">
              <w:rPr>
                <w:szCs w:val="24"/>
              </w:rPr>
              <w:t>T0 +</w:t>
            </w:r>
            <w:r>
              <w:rPr>
                <w:szCs w:val="24"/>
              </w:rPr>
              <w:t xml:space="preserve"> </w:t>
            </w:r>
            <w:r w:rsidRPr="006A2CA0">
              <w:rPr>
                <w:szCs w:val="24"/>
              </w:rPr>
              <w:t>1</w:t>
            </w:r>
            <w:r>
              <w:rPr>
                <w:szCs w:val="24"/>
              </w:rPr>
              <w:t>2</w:t>
            </w:r>
            <w:r w:rsidRPr="006A2CA0">
              <w:rPr>
                <w:szCs w:val="24"/>
              </w:rPr>
              <w:t xml:space="preserve"> month</w:t>
            </w:r>
            <w:r w:rsidR="008E5803">
              <w:rPr>
                <w:szCs w:val="24"/>
              </w:rPr>
              <w:t>s</w:t>
            </w:r>
          </w:p>
        </w:tc>
        <w:tc>
          <w:tcPr>
            <w:tcW w:w="1531" w:type="dxa"/>
            <w:shd w:val="clear" w:color="auto" w:fill="auto"/>
            <w:vAlign w:val="center"/>
          </w:tcPr>
          <w:p w:rsidR="00B1784C" w:rsidRPr="00E710A5" w:rsidRDefault="00B1784C" w:rsidP="00993B18">
            <w:pPr>
              <w:jc w:val="right"/>
              <w:rPr>
                <w:i/>
                <w:szCs w:val="24"/>
                <w:highlight w:val="yellow"/>
              </w:rPr>
            </w:pPr>
            <w:r w:rsidRPr="00E710A5">
              <w:rPr>
                <w:i/>
                <w:szCs w:val="24"/>
                <w:highlight w:val="yellow"/>
              </w:rPr>
              <w:t>to be added</w:t>
            </w:r>
          </w:p>
        </w:tc>
      </w:tr>
      <w:tr w:rsidR="00B1784C" w:rsidRPr="00E710A5" w:rsidTr="008E5803">
        <w:trPr>
          <w:trHeight w:val="38"/>
        </w:trPr>
        <w:tc>
          <w:tcPr>
            <w:tcW w:w="7627" w:type="dxa"/>
            <w:gridSpan w:val="4"/>
            <w:shd w:val="clear" w:color="auto" w:fill="auto"/>
            <w:vAlign w:val="center"/>
          </w:tcPr>
          <w:p w:rsidR="00B1784C" w:rsidRPr="00E710A5" w:rsidRDefault="00B1784C" w:rsidP="00B54414">
            <w:pPr>
              <w:jc w:val="right"/>
              <w:rPr>
                <w:b/>
                <w:i/>
                <w:szCs w:val="24"/>
              </w:rPr>
            </w:pPr>
            <w:r w:rsidRPr="00E710A5">
              <w:rPr>
                <w:b/>
                <w:i/>
                <w:szCs w:val="24"/>
                <w:highlight w:val="yellow"/>
              </w:rPr>
              <w:t>Total</w:t>
            </w:r>
          </w:p>
        </w:tc>
        <w:tc>
          <w:tcPr>
            <w:tcW w:w="1531" w:type="dxa"/>
            <w:shd w:val="clear" w:color="auto" w:fill="auto"/>
            <w:vAlign w:val="center"/>
          </w:tcPr>
          <w:p w:rsidR="00B1784C" w:rsidRPr="00E710A5" w:rsidRDefault="00B1784C" w:rsidP="00993B18">
            <w:pPr>
              <w:jc w:val="right"/>
              <w:rPr>
                <w:b/>
                <w:i/>
                <w:szCs w:val="24"/>
                <w:highlight w:val="yellow"/>
              </w:rPr>
            </w:pPr>
            <w:r w:rsidRPr="00E710A5">
              <w:rPr>
                <w:b/>
                <w:i/>
                <w:szCs w:val="24"/>
                <w:highlight w:val="yellow"/>
              </w:rPr>
              <w:t>to be added</w:t>
            </w:r>
          </w:p>
        </w:tc>
      </w:tr>
    </w:tbl>
    <w:p w:rsidR="00956F93" w:rsidRDefault="00865D33" w:rsidP="00BF05E4">
      <w:pPr>
        <w:keepNext/>
        <w:rPr>
          <w:szCs w:val="24"/>
        </w:rPr>
      </w:pPr>
      <w:r>
        <w:rPr>
          <w:szCs w:val="24"/>
        </w:rPr>
        <w:lastRenderedPageBreak/>
        <w:t xml:space="preserve">Monthly rates should be quoted based on the following </w:t>
      </w:r>
      <w:r w:rsidR="0019283C">
        <w:rPr>
          <w:szCs w:val="24"/>
        </w:rPr>
        <w:t xml:space="preserve">conditions </w:t>
      </w:r>
      <w:r w:rsidR="0096787A">
        <w:rPr>
          <w:szCs w:val="24"/>
        </w:rPr>
        <w:t>and in accordance with Section 11 of Annex II Technical Specification (</w:t>
      </w:r>
      <w:r w:rsidR="0096787A" w:rsidRPr="00CC77BE">
        <w:rPr>
          <w:szCs w:val="24"/>
        </w:rPr>
        <w:t>ref. 27KELD v. 1.</w:t>
      </w:r>
      <w:r w:rsidR="00CC77BE" w:rsidRPr="00CC77BE">
        <w:rPr>
          <w:szCs w:val="24"/>
        </w:rPr>
        <w:t>2</w:t>
      </w:r>
      <w:r w:rsidR="0096787A" w:rsidRPr="00CC77BE">
        <w:rPr>
          <w:szCs w:val="24"/>
        </w:rPr>
        <w:t>):</w:t>
      </w:r>
    </w:p>
    <w:p w:rsidR="00865D33" w:rsidRDefault="00865D33" w:rsidP="00BF05E4">
      <w:pPr>
        <w:keepNext/>
        <w:rPr>
          <w:szCs w:val="24"/>
        </w:rPr>
      </w:pPr>
    </w:p>
    <w:p w:rsidR="00865D33" w:rsidRDefault="0019283C" w:rsidP="0096787A">
      <w:pPr>
        <w:pStyle w:val="ListParagraph"/>
        <w:keepNext/>
        <w:numPr>
          <w:ilvl w:val="0"/>
          <w:numId w:val="46"/>
        </w:numPr>
        <w:rPr>
          <w:szCs w:val="24"/>
        </w:rPr>
      </w:pPr>
      <w:r>
        <w:rPr>
          <w:szCs w:val="24"/>
        </w:rPr>
        <w:t>218 working days ( = 260 week days – 24 annual leaves – 18 official holidays)</w:t>
      </w:r>
    </w:p>
    <w:p w:rsidR="0019283C" w:rsidRDefault="0019283C" w:rsidP="0019283C">
      <w:pPr>
        <w:pStyle w:val="ListParagraph"/>
        <w:keepNext/>
        <w:numPr>
          <w:ilvl w:val="0"/>
          <w:numId w:val="46"/>
        </w:numPr>
        <w:rPr>
          <w:szCs w:val="24"/>
        </w:rPr>
      </w:pPr>
      <w:r>
        <w:rPr>
          <w:szCs w:val="24"/>
        </w:rPr>
        <w:t>40 working hours / week</w:t>
      </w:r>
    </w:p>
    <w:p w:rsidR="0019283C" w:rsidRPr="0019283C" w:rsidRDefault="0019283C" w:rsidP="0019283C">
      <w:pPr>
        <w:pStyle w:val="ListParagraph"/>
        <w:keepNext/>
        <w:numPr>
          <w:ilvl w:val="0"/>
          <w:numId w:val="46"/>
        </w:numPr>
        <w:rPr>
          <w:szCs w:val="24"/>
        </w:rPr>
      </w:pPr>
      <w:r>
        <w:rPr>
          <w:szCs w:val="24"/>
        </w:rPr>
        <w:t xml:space="preserve">On-sight presence at the ITER Organization is </w:t>
      </w:r>
      <w:r w:rsidR="00CC77BE">
        <w:rPr>
          <w:szCs w:val="24"/>
        </w:rPr>
        <w:t>preferred</w:t>
      </w:r>
    </w:p>
    <w:p w:rsidR="00865D33" w:rsidRDefault="00865D33" w:rsidP="00BF05E4">
      <w:pPr>
        <w:keepNext/>
        <w:rPr>
          <w:szCs w:val="24"/>
        </w:rPr>
      </w:pPr>
      <w:bookmarkStart w:id="0" w:name="_GoBack"/>
      <w:bookmarkEnd w:id="0"/>
    </w:p>
    <w:p w:rsidR="006A2CA0" w:rsidRDefault="006A2CA0" w:rsidP="00BF05E4">
      <w:pPr>
        <w:keepNext/>
        <w:rPr>
          <w:szCs w:val="24"/>
        </w:rPr>
      </w:pPr>
    </w:p>
    <w:p w:rsidR="006A2CA0" w:rsidRDefault="006A2CA0" w:rsidP="00BF05E4">
      <w:pPr>
        <w:keepNext/>
        <w:rPr>
          <w:szCs w:val="24"/>
        </w:rPr>
      </w:pPr>
      <w:r w:rsidRPr="005B0D9E">
        <w:rPr>
          <w:szCs w:val="24"/>
        </w:rPr>
        <w:t>The daily rate which will be used to adjust monthly rates in accordance with</w:t>
      </w:r>
      <w:r w:rsidR="005B0D9E" w:rsidRPr="005B0D9E">
        <w:rPr>
          <w:szCs w:val="24"/>
        </w:rPr>
        <w:t xml:space="preserve"> Article I.5 of Annex V Draft Special Conditions Service Contract</w:t>
      </w:r>
      <w:r w:rsidRPr="005B0D9E">
        <w:rPr>
          <w:szCs w:val="24"/>
        </w:rPr>
        <w:t xml:space="preserve"> is as follows:</w:t>
      </w:r>
    </w:p>
    <w:p w:rsidR="006A2CA0" w:rsidRDefault="006A2CA0" w:rsidP="00BF05E4">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7"/>
        <w:gridCol w:w="2223"/>
      </w:tblGrid>
      <w:tr w:rsidR="00277FD4" w:rsidRPr="00E710A5" w:rsidTr="006218C9">
        <w:trPr>
          <w:trHeight w:val="405"/>
        </w:trPr>
        <w:tc>
          <w:tcPr>
            <w:tcW w:w="6117" w:type="dxa"/>
            <w:shd w:val="clear" w:color="auto" w:fill="DEEAF6"/>
            <w:vAlign w:val="center"/>
          </w:tcPr>
          <w:p w:rsidR="00277FD4" w:rsidRPr="00E710A5" w:rsidRDefault="00277FD4" w:rsidP="006218C9">
            <w:pPr>
              <w:keepNext/>
              <w:jc w:val="center"/>
              <w:rPr>
                <w:szCs w:val="24"/>
              </w:rPr>
            </w:pPr>
            <w:r w:rsidRPr="00E710A5">
              <w:rPr>
                <w:szCs w:val="24"/>
              </w:rPr>
              <w:t>Details</w:t>
            </w:r>
          </w:p>
        </w:tc>
        <w:tc>
          <w:tcPr>
            <w:tcW w:w="1980" w:type="dxa"/>
            <w:shd w:val="clear" w:color="auto" w:fill="DEEAF6"/>
            <w:vAlign w:val="center"/>
          </w:tcPr>
          <w:p w:rsidR="00277FD4" w:rsidRPr="00E710A5" w:rsidRDefault="00277FD4" w:rsidP="006218C9">
            <w:pPr>
              <w:keepNext/>
              <w:jc w:val="center"/>
              <w:rPr>
                <w:szCs w:val="24"/>
              </w:rPr>
            </w:pPr>
            <w:r w:rsidRPr="00E710A5">
              <w:rPr>
                <w:szCs w:val="24"/>
              </w:rPr>
              <w:t>Amount in EUR</w:t>
            </w:r>
          </w:p>
        </w:tc>
      </w:tr>
      <w:tr w:rsidR="00277FD4" w:rsidRPr="00E710A5" w:rsidTr="006218C9">
        <w:tc>
          <w:tcPr>
            <w:tcW w:w="6117" w:type="dxa"/>
            <w:shd w:val="clear" w:color="auto" w:fill="auto"/>
            <w:vAlign w:val="center"/>
          </w:tcPr>
          <w:p w:rsidR="00277FD4" w:rsidRPr="006F495C" w:rsidRDefault="00277FD4" w:rsidP="006218C9">
            <w:pPr>
              <w:keepNext/>
              <w:jc w:val="center"/>
              <w:rPr>
                <w:i/>
                <w:szCs w:val="24"/>
              </w:rPr>
            </w:pPr>
            <w:r>
              <w:rPr>
                <w:szCs w:val="24"/>
              </w:rPr>
              <w:t>Daily rate</w:t>
            </w:r>
          </w:p>
        </w:tc>
        <w:tc>
          <w:tcPr>
            <w:tcW w:w="1980" w:type="dxa"/>
            <w:shd w:val="clear" w:color="auto" w:fill="auto"/>
            <w:vAlign w:val="center"/>
          </w:tcPr>
          <w:p w:rsidR="00277FD4" w:rsidRPr="00E710A5" w:rsidRDefault="00277FD4" w:rsidP="006218C9">
            <w:pPr>
              <w:jc w:val="right"/>
              <w:rPr>
                <w:i/>
                <w:szCs w:val="24"/>
                <w:highlight w:val="yellow"/>
              </w:rPr>
            </w:pPr>
            <w:r w:rsidRPr="00E710A5">
              <w:rPr>
                <w:i/>
                <w:szCs w:val="24"/>
                <w:highlight w:val="yellow"/>
              </w:rPr>
              <w:t>to be added</w:t>
            </w:r>
          </w:p>
        </w:tc>
      </w:tr>
    </w:tbl>
    <w:p w:rsidR="00277FD4" w:rsidRDefault="00277FD4" w:rsidP="00BF05E4">
      <w:pPr>
        <w:keepNext/>
        <w:rPr>
          <w:szCs w:val="24"/>
        </w:rPr>
      </w:pPr>
    </w:p>
    <w:p w:rsidR="00E710A5" w:rsidRPr="00E710A5" w:rsidRDefault="006A2CA0" w:rsidP="00BF05E4">
      <w:pPr>
        <w:keepNext/>
        <w:rPr>
          <w:szCs w:val="24"/>
        </w:rPr>
      </w:pPr>
      <w:r>
        <w:rPr>
          <w:szCs w:val="24"/>
        </w:rPr>
        <w:t xml:space="preserve"> </w:t>
      </w: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EC0" w:rsidRDefault="00893EC0">
      <w:r>
        <w:separator/>
      </w:r>
    </w:p>
  </w:endnote>
  <w:endnote w:type="continuationSeparator" w:id="0">
    <w:p w:rsidR="00893EC0" w:rsidRDefault="00893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바탕"/>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CC77BE">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CC77BE">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CC77B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CC77BE">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EC0" w:rsidRDefault="00893EC0">
      <w:r>
        <w:separator/>
      </w:r>
    </w:p>
  </w:footnote>
  <w:footnote w:type="continuationSeparator" w:id="0">
    <w:p w:rsidR="00893EC0" w:rsidRDefault="00893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692934" w:rsidP="00D00FAC">
    <w:pPr>
      <w:keepNext/>
      <w:ind w:right="12"/>
      <w:jc w:val="right"/>
      <w:rPr>
        <w:b/>
        <w:sz w:val="44"/>
        <w:szCs w:val="44"/>
      </w:rPr>
    </w:pPr>
    <w:r w:rsidRPr="00692934">
      <w:rPr>
        <w:sz w:val="22"/>
        <w:szCs w:val="22"/>
      </w:rPr>
      <w:t xml:space="preserve">IO/20/CFE/10018509/YM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45736E9"/>
    <w:multiLevelType w:val="hybridMultilevel"/>
    <w:tmpl w:val="57281BE6"/>
    <w:lvl w:ilvl="0" w:tplc="E12A9BE0">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3"/>
  </w:num>
  <w:num w:numId="43">
    <w:abstractNumId w:val="19"/>
  </w:num>
  <w:num w:numId="44">
    <w:abstractNumId w:val="20"/>
  </w:num>
  <w:num w:numId="45">
    <w:abstractNumId w:val="22"/>
  </w:num>
  <w:num w:numId="4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EC0"/>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283C"/>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77FD4"/>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2F28F2"/>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2DD1"/>
    <w:rsid w:val="00373322"/>
    <w:rsid w:val="00375453"/>
    <w:rsid w:val="00375786"/>
    <w:rsid w:val="00380705"/>
    <w:rsid w:val="00390169"/>
    <w:rsid w:val="00391A88"/>
    <w:rsid w:val="00391BD5"/>
    <w:rsid w:val="00393CD1"/>
    <w:rsid w:val="00393D9D"/>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C29"/>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0D9E"/>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2934"/>
    <w:rsid w:val="006932F5"/>
    <w:rsid w:val="00694E73"/>
    <w:rsid w:val="00695AC4"/>
    <w:rsid w:val="006A039D"/>
    <w:rsid w:val="006A043E"/>
    <w:rsid w:val="006A0440"/>
    <w:rsid w:val="006A2CA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5D33"/>
    <w:rsid w:val="0086751C"/>
    <w:rsid w:val="00870729"/>
    <w:rsid w:val="00870AE4"/>
    <w:rsid w:val="00872B6C"/>
    <w:rsid w:val="0087604F"/>
    <w:rsid w:val="008803F7"/>
    <w:rsid w:val="00881D63"/>
    <w:rsid w:val="00885498"/>
    <w:rsid w:val="00890968"/>
    <w:rsid w:val="0089146C"/>
    <w:rsid w:val="00893EC0"/>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5803"/>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6787A"/>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1784C"/>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2430"/>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C77BE"/>
    <w:rsid w:val="00CD3D63"/>
    <w:rsid w:val="00CD4325"/>
    <w:rsid w:val="00CD685A"/>
    <w:rsid w:val="00CE2493"/>
    <w:rsid w:val="00CE51E7"/>
    <w:rsid w:val="00CE639B"/>
    <w:rsid w:val="00CE676E"/>
    <w:rsid w:val="00CE6BD7"/>
    <w:rsid w:val="00CE782C"/>
    <w:rsid w:val="00CF3BB7"/>
    <w:rsid w:val="00CF5BE3"/>
    <w:rsid w:val="00CF65B4"/>
    <w:rsid w:val="00CF77FE"/>
    <w:rsid w:val="00D001C6"/>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927E6"/>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ffc"/>
    </o:shapedefaults>
    <o:shapelayout v:ext="edit">
      <o:idmap v:ext="edit" data="1"/>
    </o:shapelayout>
  </w:shapeDefaults>
  <w:decimalSymbol w:val="."/>
  <w:listSeparator w:val=","/>
  <w14:docId w14:val="02CD8D8A"/>
  <w15:chartTrackingRefBased/>
  <w15:docId w15:val="{C764BBE5-871C-471E-AC94-E19AE754D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day1\AppData\Local\Packages\Microsoft.MicrosoftEdge_8wekyb3d8bbwe\TempState\Downloads\Price_Schedule_-_Template__YPWVAW_v1_0%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87535-1618-461D-973F-8049D760E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(1).dotx</Template>
  <TotalTime>75</TotalTime>
  <Pages>2</Pages>
  <Words>420</Words>
  <Characters>2126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Maeda Yo</dc:creator>
  <cp:keywords/>
  <cp:lastModifiedBy>Crowther Daphne</cp:lastModifiedBy>
  <cp:revision>11</cp:revision>
  <cp:lastPrinted>2019-07-19T12:37:00Z</cp:lastPrinted>
  <dcterms:created xsi:type="dcterms:W3CDTF">2020-01-24T08:04:00Z</dcterms:created>
  <dcterms:modified xsi:type="dcterms:W3CDTF">2020-01-31T15:37:00Z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